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6" w:rsidRDefault="000A21C6" w:rsidP="000A2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21C6" w:rsidRDefault="000A21C6" w:rsidP="000A2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Капустиноярский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0A21C6" w:rsidRDefault="000A21C6" w:rsidP="000A21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Ахтубинского</w:t>
      </w:r>
      <w:proofErr w:type="spellEnd"/>
      <w:r>
        <w:rPr>
          <w:b/>
          <w:sz w:val="28"/>
          <w:szCs w:val="28"/>
        </w:rPr>
        <w:t xml:space="preserve"> района  Астраханской области.</w:t>
      </w:r>
    </w:p>
    <w:p w:rsidR="000A21C6" w:rsidRDefault="000A21C6" w:rsidP="000A21C6">
      <w:pPr>
        <w:rPr>
          <w:b/>
          <w:sz w:val="28"/>
          <w:szCs w:val="28"/>
        </w:rPr>
      </w:pPr>
    </w:p>
    <w:p w:rsidR="000A21C6" w:rsidRDefault="000A21C6" w:rsidP="000A21C6">
      <w:pPr>
        <w:jc w:val="center"/>
        <w:rPr>
          <w:b/>
          <w:sz w:val="28"/>
          <w:szCs w:val="28"/>
        </w:rPr>
      </w:pPr>
      <w:r w:rsidRPr="00C30362">
        <w:rPr>
          <w:b/>
          <w:sz w:val="28"/>
          <w:szCs w:val="28"/>
        </w:rPr>
        <w:t>ПОСТАНОВЛЕНИЕ.</w:t>
      </w:r>
    </w:p>
    <w:p w:rsidR="000A21C6" w:rsidRDefault="000A21C6" w:rsidP="000A21C6">
      <w:pPr>
        <w:jc w:val="center"/>
        <w:rPr>
          <w:b/>
          <w:sz w:val="28"/>
          <w:szCs w:val="28"/>
        </w:rPr>
      </w:pPr>
    </w:p>
    <w:p w:rsidR="000A21C6" w:rsidRDefault="000A21C6" w:rsidP="000A21C6">
      <w:pPr>
        <w:jc w:val="center"/>
        <w:rPr>
          <w:sz w:val="28"/>
          <w:szCs w:val="28"/>
        </w:rPr>
      </w:pPr>
    </w:p>
    <w:p w:rsidR="000A21C6" w:rsidRDefault="000A21C6" w:rsidP="000A21C6">
      <w:r>
        <w:rPr>
          <w:sz w:val="28"/>
          <w:szCs w:val="28"/>
        </w:rPr>
        <w:t xml:space="preserve">         От 01.11.2018 года                                                             № 65</w:t>
      </w:r>
    </w:p>
    <w:p w:rsidR="000A21C6" w:rsidRDefault="000A21C6" w:rsidP="000A21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21C6" w:rsidRDefault="000A21C6" w:rsidP="000A21C6">
      <w:pPr>
        <w:jc w:val="both"/>
      </w:pPr>
      <w:r>
        <w:t xml:space="preserve">                   </w:t>
      </w:r>
    </w:p>
    <w:p w:rsidR="000A21C6" w:rsidRDefault="000A21C6" w:rsidP="000A21C6">
      <w:pPr>
        <w:ind w:left="540"/>
        <w:jc w:val="both"/>
        <w:rPr>
          <w:sz w:val="28"/>
          <w:szCs w:val="28"/>
        </w:rPr>
      </w:pPr>
      <w:r>
        <w:rPr>
          <w:sz w:val="28"/>
        </w:rPr>
        <w:t xml:space="preserve"> Об утверждении положения</w:t>
      </w:r>
      <w:r>
        <w:rPr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</w:t>
      </w:r>
    </w:p>
    <w:p w:rsidR="000A21C6" w:rsidRDefault="000A21C6" w:rsidP="000A21C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образующим инфраструктуру поддержки субъектов малого и среднего предпринимательства.</w:t>
      </w: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pStyle w:val="ConsPlusNormal"/>
        <w:widowControl/>
        <w:ind w:left="360" w:firstLine="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 (с изменениями и дополнениями), Уставом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</w:t>
      </w:r>
    </w:p>
    <w:p w:rsidR="000A21C6" w:rsidRDefault="000A21C6" w:rsidP="000A21C6">
      <w:pPr>
        <w:ind w:left="720" w:firstLine="900"/>
        <w:rPr>
          <w:sz w:val="28"/>
        </w:rPr>
      </w:pPr>
      <w:r>
        <w:rPr>
          <w:sz w:val="28"/>
        </w:rPr>
        <w:t>Постановляет:</w:t>
      </w:r>
    </w:p>
    <w:p w:rsidR="000A21C6" w:rsidRDefault="000A21C6" w:rsidP="000A21C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формирования, ведения и обязательного опубликования перечня муниципального имущества </w:t>
      </w:r>
      <w:bookmarkStart w:id="0" w:name="_GoBack"/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 от прав третьих лиц (за исключением имущественных прав субъектов малого и среднего </w:t>
      </w:r>
      <w:bookmarkEnd w:id="0"/>
      <w:r>
        <w:rPr>
          <w:sz w:val="28"/>
          <w:szCs w:val="28"/>
        </w:rPr>
        <w:t>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21C6" w:rsidRDefault="000A21C6" w:rsidP="000A21C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подлежит  опубликованию и размещению на официальном сайте администрации 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сельсовет».</w:t>
      </w:r>
    </w:p>
    <w:p w:rsidR="000A21C6" w:rsidRDefault="000A21C6" w:rsidP="000A21C6">
      <w:pPr>
        <w:ind w:left="539" w:firstLine="1080"/>
        <w:jc w:val="both"/>
        <w:rPr>
          <w:sz w:val="28"/>
          <w:szCs w:val="28"/>
        </w:rPr>
      </w:pPr>
    </w:p>
    <w:p w:rsidR="000A21C6" w:rsidRDefault="000A21C6" w:rsidP="000A21C6">
      <w:pPr>
        <w:ind w:left="539" w:firstLine="1080"/>
        <w:jc w:val="both"/>
        <w:rPr>
          <w:sz w:val="28"/>
          <w:szCs w:val="28"/>
        </w:rPr>
      </w:pPr>
    </w:p>
    <w:p w:rsidR="000A21C6" w:rsidRDefault="000A21C6" w:rsidP="000A21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МО</w:t>
      </w:r>
    </w:p>
    <w:p w:rsidR="000A21C6" w:rsidRDefault="000A21C6" w:rsidP="000A21C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                              </w:t>
      </w:r>
      <w:proofErr w:type="spellStart"/>
      <w:r>
        <w:rPr>
          <w:sz w:val="28"/>
          <w:szCs w:val="28"/>
        </w:rPr>
        <w:t>Юмагулов</w:t>
      </w:r>
      <w:proofErr w:type="spellEnd"/>
      <w:r>
        <w:rPr>
          <w:sz w:val="28"/>
          <w:szCs w:val="28"/>
        </w:rPr>
        <w:t xml:space="preserve"> В. В.</w:t>
      </w:r>
    </w:p>
    <w:p w:rsidR="000A21C6" w:rsidRDefault="000A21C6" w:rsidP="000A21C6">
      <w:pPr>
        <w:jc w:val="both"/>
        <w:rPr>
          <w:sz w:val="28"/>
          <w:szCs w:val="28"/>
        </w:rPr>
      </w:pPr>
    </w:p>
    <w:p w:rsidR="000A21C6" w:rsidRDefault="000A21C6" w:rsidP="000A21C6">
      <w:pPr>
        <w:jc w:val="both"/>
        <w:rPr>
          <w:sz w:val="28"/>
          <w:szCs w:val="28"/>
        </w:rPr>
      </w:pPr>
    </w:p>
    <w:p w:rsidR="000A21C6" w:rsidRDefault="000A21C6" w:rsidP="000A21C6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A21C6" w:rsidRDefault="000A21C6" w:rsidP="000A21C6">
      <w:pPr>
        <w:ind w:left="540"/>
        <w:jc w:val="right"/>
        <w:rPr>
          <w:sz w:val="28"/>
          <w:szCs w:val="28"/>
        </w:rPr>
      </w:pPr>
    </w:p>
    <w:p w:rsidR="000A21C6" w:rsidRDefault="000A21C6" w:rsidP="000A21C6">
      <w:pPr>
        <w:ind w:left="540"/>
        <w:jc w:val="right"/>
        <w:rPr>
          <w:sz w:val="28"/>
          <w:szCs w:val="28"/>
        </w:rPr>
      </w:pPr>
    </w:p>
    <w:p w:rsidR="000A21C6" w:rsidRDefault="000A21C6" w:rsidP="000A21C6">
      <w:pPr>
        <w:ind w:left="540"/>
        <w:jc w:val="right"/>
        <w:rPr>
          <w:sz w:val="28"/>
          <w:szCs w:val="28"/>
        </w:rPr>
      </w:pP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(приложение 1)  </w:t>
      </w:r>
    </w:p>
    <w:p w:rsidR="000A21C6" w:rsidRDefault="000A21C6" w:rsidP="000A21C6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Утверждено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постановлением   МО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Капустиноярский</w:t>
      </w:r>
      <w:proofErr w:type="spellEnd"/>
      <w:r>
        <w:rPr>
          <w:sz w:val="24"/>
          <w:szCs w:val="24"/>
        </w:rPr>
        <w:t xml:space="preserve"> сельсовет»                                                                              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________2018 №  _______</w:t>
      </w:r>
    </w:p>
    <w:p w:rsidR="000A21C6" w:rsidRDefault="000A21C6" w:rsidP="000A21C6">
      <w:pPr>
        <w:ind w:left="540"/>
        <w:jc w:val="center"/>
        <w:rPr>
          <w:sz w:val="24"/>
          <w:szCs w:val="24"/>
        </w:rPr>
      </w:pPr>
    </w:p>
    <w:p w:rsidR="000A21C6" w:rsidRDefault="000A21C6" w:rsidP="000A21C6">
      <w:pPr>
        <w:ind w:left="540"/>
        <w:jc w:val="center"/>
        <w:rPr>
          <w:sz w:val="24"/>
          <w:szCs w:val="24"/>
        </w:rPr>
      </w:pPr>
    </w:p>
    <w:p w:rsidR="000A21C6" w:rsidRDefault="000A21C6" w:rsidP="000A21C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21C6" w:rsidRDefault="000A21C6" w:rsidP="000A21C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 порядке формирования, ведения и обязательного опубликования перечня муниципального имущества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21C6" w:rsidRDefault="000A21C6" w:rsidP="000A21C6">
      <w:pPr>
        <w:ind w:left="540"/>
        <w:jc w:val="center"/>
        <w:rPr>
          <w:sz w:val="28"/>
          <w:szCs w:val="28"/>
        </w:rPr>
      </w:pPr>
    </w:p>
    <w:p w:rsidR="000A21C6" w:rsidRDefault="000A21C6" w:rsidP="000A21C6">
      <w:pPr>
        <w:ind w:left="540"/>
        <w:jc w:val="center"/>
        <w:rPr>
          <w:sz w:val="28"/>
          <w:szCs w:val="28"/>
        </w:rPr>
      </w:pPr>
    </w:p>
    <w:p w:rsidR="000A21C6" w:rsidRDefault="000A21C6" w:rsidP="000A21C6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– муниципальное имущество, Перечень), в целях предоставления муниципального имущества</w:t>
      </w:r>
      <w:proofErr w:type="gramEnd"/>
      <w:r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муниципальное имущество не включено в прогнозный план (программу) приватизации имущества, находящегося в собственности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 реконструкции.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Внесение сведений о муниципальном имуществе в Перечень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ежегодное дополнение), а также исключение сведений о муниципальном имуществе из Перечня осуществляются постановлением администрации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(далее –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организации,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предложения, указанного в пункте 3 настоящего Порядка, осуществляется уполномоченным органом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из Перечня с учетом критериев, установленных пунктом 2 настоящего Порядка;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>
        <w:rPr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 не поступило: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постановление администрации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о его использовании для муниципальных нужд либо для иных целей;</w:t>
      </w:r>
      <w:proofErr w:type="gramEnd"/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0A21C6" w:rsidRDefault="000A21C6" w:rsidP="000A2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и внесенные в него изменения подлежат размещению на официальном сайте уполномоченного органа в информационно-телекоммуникационной сети Интернет ( в том числе в форме открытых данных)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утверждения.</w:t>
      </w: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(приложение 2)  </w:t>
      </w:r>
      <w:r>
        <w:rPr>
          <w:sz w:val="28"/>
          <w:szCs w:val="28"/>
        </w:rPr>
        <w:t xml:space="preserve">             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Утверждено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Постановлением   МО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Капустиноярский</w:t>
      </w:r>
      <w:proofErr w:type="spellEnd"/>
      <w:r>
        <w:rPr>
          <w:sz w:val="24"/>
          <w:szCs w:val="24"/>
        </w:rPr>
        <w:t xml:space="preserve"> сельсовет»                                                                              </w:t>
      </w:r>
    </w:p>
    <w:p w:rsidR="000A21C6" w:rsidRDefault="000A21C6" w:rsidP="000A21C6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________2018 №  _______</w:t>
      </w:r>
    </w:p>
    <w:p w:rsidR="000A21C6" w:rsidRDefault="000A21C6" w:rsidP="000A21C6">
      <w:pPr>
        <w:spacing w:after="157"/>
        <w:rPr>
          <w:b/>
          <w:bCs/>
          <w:color w:val="3C3C3C"/>
          <w:sz w:val="24"/>
          <w:szCs w:val="24"/>
        </w:rPr>
      </w:pPr>
    </w:p>
    <w:p w:rsidR="000A21C6" w:rsidRDefault="000A21C6" w:rsidP="000A21C6">
      <w:pPr>
        <w:spacing w:after="157"/>
        <w:jc w:val="center"/>
        <w:rPr>
          <w:color w:val="3C3C3C"/>
          <w:sz w:val="24"/>
          <w:szCs w:val="24"/>
        </w:rPr>
      </w:pPr>
      <w:r>
        <w:rPr>
          <w:b/>
          <w:bCs/>
          <w:color w:val="3C3C3C"/>
          <w:sz w:val="24"/>
          <w:szCs w:val="24"/>
        </w:rPr>
        <w:t>Перечень</w:t>
      </w:r>
      <w:r>
        <w:rPr>
          <w:color w:val="3C3C3C"/>
          <w:sz w:val="24"/>
          <w:szCs w:val="24"/>
        </w:rPr>
        <w:br/>
      </w:r>
      <w:r>
        <w:rPr>
          <w:b/>
          <w:bCs/>
          <w:color w:val="3C3C3C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W w:w="1075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1559"/>
        <w:gridCol w:w="2234"/>
        <w:gridCol w:w="1457"/>
        <w:gridCol w:w="1450"/>
        <w:gridCol w:w="1996"/>
        <w:gridCol w:w="1503"/>
      </w:tblGrid>
      <w:tr w:rsidR="000A21C6" w:rsidTr="000D49A0">
        <w:trPr>
          <w:jc w:val="center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3C3C3C"/>
                <w:sz w:val="24"/>
                <w:szCs w:val="24"/>
              </w:rPr>
              <w:t>п</w:t>
            </w:r>
            <w:proofErr w:type="gramEnd"/>
            <w:r>
              <w:rPr>
                <w:color w:val="3C3C3C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Наименование и объекта</w:t>
            </w:r>
          </w:p>
        </w:tc>
        <w:tc>
          <w:tcPr>
            <w:tcW w:w="2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Информация об ограничениях (обременениях)</w:t>
            </w:r>
          </w:p>
        </w:tc>
        <w:tc>
          <w:tcPr>
            <w:tcW w:w="15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Дата включения объекта в перечень</w:t>
            </w:r>
          </w:p>
        </w:tc>
      </w:tr>
      <w:tr w:rsidR="000A21C6" w:rsidTr="000D49A0">
        <w:trPr>
          <w:jc w:val="center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7</w:t>
            </w:r>
          </w:p>
        </w:tc>
      </w:tr>
      <w:tr w:rsidR="000A21C6" w:rsidTr="000D49A0">
        <w:trPr>
          <w:jc w:val="center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29" w:type="dxa"/>
            </w:tcMar>
          </w:tcPr>
          <w:p w:rsidR="000A21C6" w:rsidRDefault="000A21C6" w:rsidP="000D49A0">
            <w:pPr>
              <w:spacing w:after="157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</w:tr>
    </w:tbl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>
      <w:pPr>
        <w:rPr>
          <w:sz w:val="28"/>
          <w:szCs w:val="28"/>
        </w:rPr>
      </w:pPr>
    </w:p>
    <w:p w:rsidR="000A21C6" w:rsidRDefault="000A21C6" w:rsidP="000A21C6"/>
    <w:p w:rsidR="001C102E" w:rsidRDefault="001C102E"/>
    <w:sectPr w:rsidR="001C102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E4"/>
    <w:rsid w:val="000A21C6"/>
    <w:rsid w:val="001C102E"/>
    <w:rsid w:val="00D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0A21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1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0A21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0A21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1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0A21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2019-10-09T05:17:00Z</dcterms:created>
  <dcterms:modified xsi:type="dcterms:W3CDTF">2019-10-09T05:17:00Z</dcterms:modified>
</cp:coreProperties>
</file>