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CB23FE" w:rsidRP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B23FE">
        <w:rPr>
          <w:rFonts w:ascii="Times New Roman" w:hAnsi="Times New Roman" w:cs="Times New Roman"/>
          <w:sz w:val="28"/>
          <w:szCs w:val="28"/>
        </w:rPr>
        <w:t xml:space="preserve">Правила поставки газа для обеспечения коммунально-бытовых нужд граждан, в том числе основания и порядок отключения объектов абонентов от сетей газораспределения регламентированы постановлением Правительства Российской Федерации от 21.07.2008 № 549, утвердившим Правила поставки газа для обеспечения коммунально-бытовых нужд граждан (далее – Правила). </w:t>
      </w:r>
    </w:p>
    <w:p w:rsidR="00CB23FE" w:rsidRP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B23FE">
        <w:rPr>
          <w:rFonts w:ascii="Times New Roman" w:hAnsi="Times New Roman" w:cs="Times New Roman"/>
          <w:sz w:val="28"/>
          <w:szCs w:val="28"/>
        </w:rPr>
        <w:t xml:space="preserve">Одной из причин отключения газоснабжения у абонентов является отсутствие договора о техническом ремонте и обслуживании внутридомового газового оборудования, то есть газопроводов многоквартирного дома до первых запорно-регулировочных кранов на отводах внутриквартирной разводки от стояков (пункт 5 Правил содержания общего имущества в многоквартирном доме, утвержденных Постановлением Правительства Российской Федерации от 13.08.2006 № 491). Право поставщика приостанавливать обязательства по поставке газа с </w:t>
      </w:r>
      <w:r w:rsidRPr="00CB23FE">
        <w:rPr>
          <w:rFonts w:ascii="Times New Roman" w:hAnsi="Times New Roman" w:cs="Times New Roman"/>
          <w:sz w:val="28"/>
          <w:szCs w:val="28"/>
        </w:rPr>
        <w:t>письменным уведомлением абонента по указанному основанию предусмотрено подпункта «е» пункта 45 Правил.</w:t>
      </w:r>
    </w:p>
    <w:p w:rsidR="00CB23FE" w:rsidRP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B23FE">
        <w:rPr>
          <w:rFonts w:ascii="Times New Roman" w:hAnsi="Times New Roman" w:cs="Times New Roman"/>
          <w:sz w:val="28"/>
          <w:szCs w:val="28"/>
        </w:rPr>
        <w:t xml:space="preserve">При этом зачастую абонентами обязанность по заключению договора </w:t>
      </w:r>
      <w:r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Pr="00CB23FE">
        <w:rPr>
          <w:rFonts w:ascii="Times New Roman" w:hAnsi="Times New Roman" w:cs="Times New Roman"/>
          <w:sz w:val="28"/>
          <w:szCs w:val="28"/>
        </w:rPr>
        <w:t>внутридомового газового оборудования (далее – ВДГО) не исполняется, что является причиной обоснованного приостановления поставки газа. Кроме того, имеются случаи, когда абонентами копия договора в газоснабжающую организацию, а также уведомление об устранении причин, послуживших приостановлению поставки газа, не направляются.</w:t>
      </w:r>
    </w:p>
    <w:p w:rsidR="00CB23FE" w:rsidRP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B23FE">
        <w:rPr>
          <w:rFonts w:ascii="Times New Roman" w:hAnsi="Times New Roman" w:cs="Times New Roman"/>
          <w:sz w:val="28"/>
          <w:szCs w:val="28"/>
        </w:rPr>
        <w:t>В соответствии с подпунктом «к» пункта 21 Правил обязанность обеспечивать надлежащее техническое состояние ВДГО, своевременно заключать договор о его техническом обслуживании и аварийно-диспетчерском обеспечении возложена на абонента.</w:t>
      </w:r>
    </w:p>
    <w:p w:rsidR="00CB23FE" w:rsidRP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B23FE">
        <w:rPr>
          <w:rFonts w:ascii="Times New Roman" w:hAnsi="Times New Roman" w:cs="Times New Roman"/>
          <w:sz w:val="28"/>
          <w:szCs w:val="28"/>
        </w:rPr>
        <w:t xml:space="preserve">Согласно пункту 3 Правил абонентом может выступать как владелец жилого </w:t>
      </w:r>
      <w:r w:rsidRPr="00CB23FE">
        <w:rPr>
          <w:rFonts w:ascii="Times New Roman" w:hAnsi="Times New Roman" w:cs="Times New Roman"/>
          <w:sz w:val="28"/>
          <w:szCs w:val="28"/>
        </w:rPr>
        <w:t>помещения (квартиры) в многоквартирном доме, так и исполнитель коммунальной услуги газоснабжения (управляющая организация, ТСК, ЖСК, ЖК или иной специализированный кооператив).</w:t>
      </w:r>
    </w:p>
    <w:p w:rsidR="00CB23FE" w:rsidRP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B23FE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39 Жилищного кодекса собственники помещений в многоквартирном доме несут бремя расходов на содержание общего имущества в многоквартирном доме. Согласно статье 154 Жилищного кодекса Российской Федерации (далее - Жилищный кодекс) плата за содержание общего имущества является составной частью платы за жилое помещение. Статьей 155 Жилищного кодекса определено, что плата за жилое помещение в зависимости от выбранного собственниками жилых помещений способа управления многоквартирным домом вносится управляющей организации, ТСЖ, ЖСК, ЖК или иной специализированный кооператив, на которых в силу статей 110, 138 и 161 </w:t>
      </w:r>
      <w:r w:rsidRPr="00CB23FE">
        <w:rPr>
          <w:rFonts w:ascii="Times New Roman" w:hAnsi="Times New Roman" w:cs="Times New Roman"/>
          <w:sz w:val="28"/>
          <w:szCs w:val="28"/>
        </w:rPr>
        <w:lastRenderedPageBreak/>
        <w:t>Жилищного кодекса лежит обязанность по обеспечению надлежащего содержания общего имущества собственников помещений многоквартирного дома.</w:t>
      </w:r>
    </w:p>
    <w:p w:rsidR="00CB23FE" w:rsidRP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B23FE">
        <w:rPr>
          <w:rFonts w:ascii="Times New Roman" w:hAnsi="Times New Roman" w:cs="Times New Roman"/>
          <w:sz w:val="28"/>
          <w:szCs w:val="28"/>
        </w:rPr>
        <w:t>Соответственно, поставщик газа вправе требовать при заключении договора поставки газа с абонентом обязательного предоставления договора на обслуживание ВДГО, относящегося к общему имуществу собственников помещений многоквартирного дома (подпункт «к» пункта 9 Правил).</w:t>
      </w:r>
    </w:p>
    <w:p w:rsidR="00CB23FE" w:rsidRP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B23FE">
        <w:rPr>
          <w:rFonts w:ascii="Times New Roman" w:hAnsi="Times New Roman" w:cs="Times New Roman"/>
          <w:sz w:val="28"/>
          <w:szCs w:val="28"/>
        </w:rPr>
        <w:t xml:space="preserve">В случае, если в многоквартирном доме осуществляется непосредственное управление, согласно части 3 статьи 164 Жилищного кодекса на основании решения общего собрания собственников помещений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лицо, имеющее полномочие, удостоверенное доверенностью, выданной в письменной форме ему всеми или </w:t>
      </w:r>
      <w:r w:rsidRPr="00CB23FE">
        <w:rPr>
          <w:rFonts w:ascii="Times New Roman" w:hAnsi="Times New Roman" w:cs="Times New Roman"/>
          <w:sz w:val="28"/>
          <w:szCs w:val="28"/>
        </w:rPr>
        <w:t>большинством собственников помещений в таком доме.</w:t>
      </w:r>
    </w:p>
    <w:p w:rsidR="00CB23FE" w:rsidRP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B23FE">
        <w:rPr>
          <w:rFonts w:ascii="Times New Roman" w:hAnsi="Times New Roman" w:cs="Times New Roman"/>
          <w:sz w:val="28"/>
          <w:szCs w:val="28"/>
        </w:rPr>
        <w:t>В указанном случае, при условии заключения договора на техническое обслуживание ВДГО, относящегося к общему имуществу собственников помещений в многоквартирном доме, одним из собственников помещения в таком доме либо иным лицом, имеющим соответствующие полномочия, и направления им в адрес поставщика газа копии данного договора и соответствующего решения общего собрания собственников помещений в многоквартирном доме, поставщик газа не вправе требовать от абонентов, проживающих в этом доме, предоставления копии вышеуказанного договора.</w:t>
      </w:r>
    </w:p>
    <w:p w:rsidR="008C2B87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B23FE">
        <w:rPr>
          <w:rFonts w:ascii="Times New Roman" w:hAnsi="Times New Roman" w:cs="Times New Roman"/>
          <w:sz w:val="28"/>
          <w:szCs w:val="28"/>
        </w:rPr>
        <w:t>Для подключения к сетям газораспределения абоненту необходимо устранить причины, послужившие основанием введения ограничения (приостановления) подачи газа, в том числе заключить договор ВДГО.</w:t>
      </w:r>
    </w:p>
    <w:p w:rsid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23FE" w:rsidRPr="00CB23FE" w:rsidRDefault="0031467A" w:rsidP="00CB23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66C0D2A" wp14:editId="7A41CA16">
            <wp:extent cx="983672" cy="858981"/>
            <wp:effectExtent l="0" t="0" r="0" b="0"/>
            <wp:docPr id="2" name="Рисунок 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9333" l="8280" r="89809">
                                  <a14:backgroundMark x1="25478" y1="24667" x2="25478" y2="24667"/>
                                  <a14:backgroundMark x1="25478" y1="32667" x2="25478" y2="32667"/>
                                  <a14:backgroundMark x1="29936" y1="39333" x2="29936" y2="39333"/>
                                  <a14:backgroundMark x1="69427" y1="21333" x2="69427" y2="21333"/>
                                  <a14:backgroundMark x1="36943" y1="76000" x2="36943" y2="76000"/>
                                  <a14:backgroundMark x1="64968" y1="24667" x2="64968" y2="24667"/>
                                  <a14:backgroundMark x1="29299" y1="25333" x2="29299" y2="25333"/>
                                  <a14:backgroundMark x1="73885" y1="30667" x2="73885" y2="30667"/>
                                  <a14:backgroundMark x1="57962" y1="75333" x2="57962" y2="75333"/>
                                  <a14:backgroundMark x1="54140" y1="85333" x2="54140" y2="85333"/>
                                  <a14:backgroundMark x1="40764" y1="85333" x2="40764" y2="85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37" cy="87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FE" w:rsidRPr="00CB23FE" w:rsidRDefault="00CB23FE" w:rsidP="00CB23F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23FE">
        <w:rPr>
          <w:rFonts w:ascii="Times New Roman" w:eastAsia="Calibri" w:hAnsi="Times New Roman" w:cs="Times New Roman"/>
          <w:b/>
          <w:sz w:val="24"/>
          <w:szCs w:val="24"/>
        </w:rPr>
        <w:t>ПРОКУРАТУРА РОССИЙСКОЙ ФЕДЕРАЦИИ</w:t>
      </w:r>
    </w:p>
    <w:p w:rsidR="00CB23FE" w:rsidRPr="00CB23FE" w:rsidRDefault="00CB23FE" w:rsidP="00CB23F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3FE" w:rsidRPr="00CB23FE" w:rsidRDefault="00CB23FE" w:rsidP="00CB23F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23FE">
        <w:rPr>
          <w:rFonts w:ascii="Times New Roman" w:eastAsia="Calibri" w:hAnsi="Times New Roman" w:cs="Times New Roman"/>
          <w:sz w:val="28"/>
          <w:szCs w:val="28"/>
        </w:rPr>
        <w:t>ПРОКУРАТУРА АСТРАХАНСКОЙ ОБЛАСТИ</w:t>
      </w:r>
    </w:p>
    <w:p w:rsidR="00CB23FE" w:rsidRPr="00CB23FE" w:rsidRDefault="00CB23FE" w:rsidP="00CB23F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23FE" w:rsidRPr="00CB23FE" w:rsidRDefault="00CB23FE" w:rsidP="00CB23F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3FE">
        <w:rPr>
          <w:rFonts w:ascii="Times New Roman" w:eastAsia="Calibri" w:hAnsi="Times New Roman" w:cs="Times New Roman"/>
          <w:b/>
          <w:sz w:val="28"/>
          <w:szCs w:val="28"/>
        </w:rPr>
        <w:t>АХТУБИНСКАЯ ГОРОДСКАЯ ПРОКУРАТУРА</w:t>
      </w:r>
    </w:p>
    <w:p w:rsid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23FE" w:rsidRDefault="00CB23FE" w:rsidP="00CB23F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23FE" w:rsidRDefault="00CB23FE" w:rsidP="00CB23FE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3FE">
        <w:rPr>
          <w:rFonts w:ascii="Times New Roman" w:hAnsi="Times New Roman" w:cs="Times New Roman"/>
          <w:b/>
          <w:sz w:val="32"/>
          <w:szCs w:val="32"/>
        </w:rPr>
        <w:t xml:space="preserve">ДОГОВОР </w:t>
      </w:r>
      <w:r>
        <w:rPr>
          <w:rFonts w:ascii="Times New Roman" w:hAnsi="Times New Roman" w:cs="Times New Roman"/>
          <w:b/>
          <w:sz w:val="32"/>
          <w:szCs w:val="32"/>
        </w:rPr>
        <w:t xml:space="preserve">ОБСЛУЖИВАНИЯ </w:t>
      </w:r>
      <w:r w:rsidRPr="00CB23FE">
        <w:rPr>
          <w:rFonts w:ascii="Times New Roman" w:hAnsi="Times New Roman" w:cs="Times New Roman"/>
          <w:b/>
          <w:sz w:val="32"/>
          <w:szCs w:val="32"/>
        </w:rPr>
        <w:t>ВНУТРИДОМОВОГО ГАЗОВОГО ОБОРУДОВАНИЯ. ПОСЛЕДСТВИЯ НЕЗАКЛЮЧЕНИЯ</w:t>
      </w:r>
    </w:p>
    <w:p w:rsidR="00CB23FE" w:rsidRDefault="00CB23FE" w:rsidP="00CB23FE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3FE" w:rsidRDefault="00CB23FE" w:rsidP="00CB23FE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3FE" w:rsidRDefault="00CB23FE" w:rsidP="00CB23FE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3FE" w:rsidRDefault="00CB23FE" w:rsidP="00CB23FE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3FE" w:rsidRPr="00CB23FE" w:rsidRDefault="00CB23FE" w:rsidP="00CB23FE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= Ахтубинск 2023 =</w:t>
      </w:r>
    </w:p>
    <w:sectPr w:rsidR="00CB23FE" w:rsidRPr="00CB23FE" w:rsidSect="00CB23FE">
      <w:pgSz w:w="16838" w:h="11906" w:orient="landscape"/>
      <w:pgMar w:top="737" w:right="851" w:bottom="73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FE"/>
    <w:rsid w:val="001317B2"/>
    <w:rsid w:val="00312EE7"/>
    <w:rsid w:val="0031467A"/>
    <w:rsid w:val="008C2B87"/>
    <w:rsid w:val="00C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2174951E"/>
  <w15:chartTrackingRefBased/>
  <w15:docId w15:val="{E7477937-B0CF-441B-A6EC-DA2EF4F2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5335-3AAA-4A27-911A-1ABCA1AC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Елена Ивановна</dc:creator>
  <cp:keywords/>
  <dc:description/>
  <cp:lastModifiedBy>Семенова Елена Ивановна</cp:lastModifiedBy>
  <cp:revision>2</cp:revision>
  <cp:lastPrinted>2023-05-29T08:32:00Z</cp:lastPrinted>
  <dcterms:created xsi:type="dcterms:W3CDTF">2023-05-29T08:50:00Z</dcterms:created>
  <dcterms:modified xsi:type="dcterms:W3CDTF">2023-05-29T08:50:00Z</dcterms:modified>
</cp:coreProperties>
</file>