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numPr>
          <w:ilvl w:val="0"/>
          <w:numId w:val="0"/>
        </w:numPr>
        <w:ind w:firstLine="709" w:left="0"/>
        <w:jc w:val="right"/>
        <w:rPr>
          <w:sz w:val="32"/>
        </w:rPr>
      </w:pPr>
      <w:r>
        <w:rPr>
          <w:sz w:val="32"/>
        </w:rPr>
        <w:t xml:space="preserve">                      </w:t>
      </w:r>
      <w:r>
        <w:t xml:space="preserve">                                               </w:t>
      </w:r>
      <w:r>
        <w:tab/>
      </w:r>
    </w:p>
    <w:p w14:paraId="02000000">
      <w:pPr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СОВЕТ МУНИЦИПАЛЬНОГО ОБРАЗОВАНИЯ</w:t>
      </w:r>
    </w:p>
    <w:p w14:paraId="03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32"/>
        </w:rPr>
        <w:t xml:space="preserve">Сельское поселение  </w:t>
      </w:r>
      <w:r>
        <w:rPr>
          <w:rFonts w:ascii="Times New Roman" w:hAnsi="Times New Roman"/>
          <w:sz w:val="32"/>
        </w:rPr>
        <w:t>Капустиноярский</w:t>
      </w:r>
      <w:r>
        <w:rPr>
          <w:rFonts w:ascii="Times New Roman" w:hAnsi="Times New Roman"/>
          <w:sz w:val="32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b w:val="1"/>
          <w:sz w:val="28"/>
        </w:rPr>
        <w:t>»</w:t>
      </w:r>
    </w:p>
    <w:p w14:paraId="04000000">
      <w:pPr>
        <w:tabs>
          <w:tab w:leader="none" w:pos="8580" w:val="left"/>
        </w:tabs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05000000">
      <w:pPr>
        <w:tabs>
          <w:tab w:leader="none" w:pos="4720" w:val="left"/>
          <w:tab w:leader="none" w:pos="8660" w:val="left"/>
        </w:tabs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</w:p>
    <w:p w14:paraId="06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</w:t>
      </w:r>
      <w:r>
        <w:rPr>
          <w:rFonts w:ascii="Times New Roman" w:hAnsi="Times New Roman"/>
          <w:b w:val="1"/>
          <w:sz w:val="28"/>
        </w:rPr>
        <w:t xml:space="preserve"> Е Ш Е Н И Е</w:t>
      </w:r>
    </w:p>
    <w:p w14:paraId="07000000">
      <w:pPr>
        <w:ind w:firstLine="709" w:left="0"/>
        <w:rPr>
          <w:rFonts w:ascii="Times New Roman" w:hAnsi="Times New Roman"/>
          <w:sz w:val="28"/>
        </w:rPr>
      </w:pPr>
    </w:p>
    <w:p w14:paraId="08000000">
      <w:pPr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 06.12.2023                                                                 № 17</w:t>
      </w:r>
    </w:p>
    <w:p w14:paraId="09000000">
      <w:pPr>
        <w:tabs>
          <w:tab w:leader="none" w:pos="2992" w:val="left"/>
        </w:tabs>
        <w:ind w:firstLine="709" w:left="0"/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5103" w:val="left"/>
        </w:tabs>
        <w:ind w:right="45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бюджете</w:t>
      </w:r>
      <w:r>
        <w:rPr>
          <w:rFonts w:ascii="Times New Roman" w:hAnsi="Times New Roman"/>
          <w:sz w:val="28"/>
        </w:rPr>
        <w:t xml:space="preserve"> муниципального образования «Сел</w:t>
      </w:r>
      <w:r>
        <w:rPr>
          <w:rFonts w:ascii="Times New Roman" w:hAnsi="Times New Roman"/>
          <w:sz w:val="28"/>
        </w:rPr>
        <w:t xml:space="preserve">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Ахтубинского муниципального  района Астраханской области» на 2024 год и на плановый период 2025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2026 годов</w:t>
      </w:r>
    </w:p>
    <w:p w14:paraId="0B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0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Руководствуясь Федеральным законом от 06.10.2003 № 131-ФЗ «Об общих принципах организации местного самоуправления в РФ», Бюджетным кодексом РФ, приказом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назначения», приказом Минфина России от 01.06.2023 №80н «Об утверждении кодов (перечней кодов) бюджетной классификации Российской Федерации на 2024 год (на 2024 год и</w:t>
      </w:r>
      <w:r>
        <w:rPr>
          <w:rFonts w:ascii="Times New Roman" w:hAnsi="Times New Roman"/>
          <w:sz w:val="28"/>
        </w:rPr>
        <w:t xml:space="preserve"> на плановый период 2025 и 2026 годов),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</w:p>
    <w:p w14:paraId="0D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pStyle w:val="Style_2"/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 муниципального образования «Сел</w:t>
      </w:r>
      <w:r>
        <w:rPr>
          <w:rFonts w:ascii="Times New Roman" w:hAnsi="Times New Roman"/>
        </w:rPr>
        <w:t xml:space="preserve">ьское поселение </w:t>
      </w:r>
      <w:r>
        <w:rPr>
          <w:rFonts w:ascii="Times New Roman" w:hAnsi="Times New Roman"/>
        </w:rPr>
        <w:t>Капустиноярский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сельсовет Ахтубинского муниципального района Астраханской области»</w:t>
      </w:r>
    </w:p>
    <w:p w14:paraId="0F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14:paraId="10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 основные характеристики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2024год: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общий объем доходов в сумме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269,59958 тыс. руб., в том числе за счет межбюджетных трансфертов, получаемых из других бюджетов </w:t>
      </w:r>
      <w:r>
        <w:rPr>
          <w:rFonts w:ascii="Times New Roman" w:hAnsi="Times New Roman"/>
          <w:sz w:val="28"/>
        </w:rPr>
        <w:t xml:space="preserve">бюджетной системы РФ </w:t>
      </w:r>
      <w:r>
        <w:rPr>
          <w:rFonts w:ascii="Times New Roman" w:hAnsi="Times New Roman"/>
          <w:sz w:val="28"/>
        </w:rPr>
        <w:t>в сумме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8483,048тыс. руб.;</w:t>
      </w:r>
    </w:p>
    <w:p w14:paraId="1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общий объем расходов в сумме 11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269,59958ыс. руб.;</w:t>
      </w:r>
    </w:p>
    <w:p w14:paraId="1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дефицит (профицит)  бюджета в сумме 0,00 тыс. руб. </w:t>
      </w:r>
    </w:p>
    <w:p w14:paraId="14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твердить основные характеристики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плановый период 2025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2026годов:</w:t>
      </w:r>
    </w:p>
    <w:p w14:paraId="1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общий объем доходов на 2025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 сумме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258,29958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руб., в том числе за счет </w:t>
      </w:r>
      <w:r>
        <w:rPr>
          <w:rFonts w:ascii="Times New Roman" w:hAnsi="Times New Roman"/>
          <w:sz w:val="28"/>
        </w:rPr>
        <w:t>межбюджетных трансфертов</w:t>
      </w:r>
      <w:r>
        <w:rPr>
          <w:rFonts w:ascii="Times New Roman" w:hAnsi="Times New Roman"/>
          <w:sz w:val="28"/>
        </w:rPr>
        <w:t xml:space="preserve">, получаемых из других бюджетов </w:t>
      </w:r>
      <w:r>
        <w:rPr>
          <w:rFonts w:ascii="Times New Roman" w:hAnsi="Times New Roman"/>
          <w:sz w:val="28"/>
        </w:rPr>
        <w:t xml:space="preserve">бюджетной </w:t>
      </w:r>
      <w:r>
        <w:rPr>
          <w:rFonts w:ascii="Times New Roman" w:hAnsi="Times New Roman"/>
          <w:sz w:val="28"/>
        </w:rPr>
        <w:t xml:space="preserve">системы РФ </w:t>
      </w:r>
      <w:r>
        <w:rPr>
          <w:rFonts w:ascii="Times New Roman" w:hAnsi="Times New Roman"/>
          <w:sz w:val="28"/>
        </w:rPr>
        <w:t>в сумме 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459,04800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руб.;</w:t>
      </w:r>
    </w:p>
    <w:p w14:paraId="1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общий объем расходов на 2025 год в сумме 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258,29958 тыс. руб.,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условно утверждаемые расходы в сумме 22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98999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.;</w:t>
      </w:r>
    </w:p>
    <w:p w14:paraId="1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дефицит (профицит)</w:t>
      </w:r>
      <w:r>
        <w:rPr>
          <w:rFonts w:ascii="Times New Roman" w:hAnsi="Times New Roman"/>
          <w:sz w:val="28"/>
        </w:rPr>
        <w:t xml:space="preserve"> в сумме 0,00 тыс. руб</w:t>
      </w:r>
      <w:r>
        <w:rPr>
          <w:rFonts w:ascii="Times New Roman" w:hAnsi="Times New Roman"/>
          <w:sz w:val="28"/>
        </w:rPr>
        <w:t>.;</w:t>
      </w:r>
    </w:p>
    <w:p w14:paraId="18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общий объем доходов на 2026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 сумме 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063,19958 тыс. руб., в том числе за счет межбюджетных трансфертов, получаемых из других бюджетов </w:t>
      </w:r>
      <w:r>
        <w:rPr>
          <w:rFonts w:ascii="Times New Roman" w:hAnsi="Times New Roman"/>
          <w:sz w:val="28"/>
        </w:rPr>
        <w:t xml:space="preserve">бюджетной системы РФ  </w:t>
      </w:r>
      <w:r>
        <w:rPr>
          <w:rFonts w:ascii="Times New Roman" w:hAnsi="Times New Roman"/>
          <w:sz w:val="28"/>
        </w:rPr>
        <w:t>в сумме 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252,14800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руб.;</w:t>
      </w:r>
    </w:p>
    <w:p w14:paraId="1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общий объем расходов на 2026 год в сумме 7063,19958 тыс. руб.; в том числе условно ут</w:t>
      </w:r>
      <w:r>
        <w:rPr>
          <w:rFonts w:ascii="Times New Roman" w:hAnsi="Times New Roman"/>
          <w:sz w:val="28"/>
        </w:rPr>
        <w:t>верждаемые расходы в сумме 336,22499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.;</w:t>
      </w:r>
    </w:p>
    <w:p w14:paraId="1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дефицит (профицит) </w:t>
      </w:r>
      <w:r>
        <w:rPr>
          <w:rFonts w:ascii="Times New Roman" w:hAnsi="Times New Roman"/>
          <w:sz w:val="28"/>
        </w:rPr>
        <w:t>в сумме 0,00 тыс. руб</w:t>
      </w:r>
      <w:r>
        <w:rPr>
          <w:rFonts w:ascii="Times New Roman" w:hAnsi="Times New Roman"/>
          <w:sz w:val="28"/>
        </w:rPr>
        <w:t>.</w:t>
      </w:r>
    </w:p>
    <w:p w14:paraId="1B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Учесть в бюджете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объем доходов по основным источникам:</w:t>
      </w:r>
    </w:p>
    <w:p w14:paraId="1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>
        <w:rPr>
          <w:rFonts w:ascii="Times New Roman" w:hAnsi="Times New Roman"/>
          <w:sz w:val="28"/>
        </w:rPr>
        <w:t>согласно приложения</w:t>
      </w:r>
      <w:r>
        <w:rPr>
          <w:rFonts w:ascii="Times New Roman" w:hAnsi="Times New Roman"/>
          <w:sz w:val="28"/>
        </w:rPr>
        <w:t xml:space="preserve"> №1 к настоящему решению;</w:t>
      </w:r>
    </w:p>
    <w:p w14:paraId="1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2025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2026 год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согласно приложению №1.1 к настоящему решению.</w:t>
      </w:r>
    </w:p>
    <w:p w14:paraId="1E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Утвердить источники внутреннего финансирования дефицита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r>
        <w:rPr>
          <w:rFonts w:ascii="Times New Roman" w:hAnsi="Times New Roman"/>
          <w:sz w:val="28"/>
        </w:rPr>
        <w:t>области»</w:t>
      </w:r>
      <w:r>
        <w:rPr>
          <w:rFonts w:ascii="Times New Roman" w:hAnsi="Times New Roman"/>
          <w:sz w:val="28"/>
        </w:rPr>
        <w:t>:</w:t>
      </w:r>
    </w:p>
    <w:p w14:paraId="1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2024 год согласно приложению №2 к настоящему решению;</w:t>
      </w:r>
    </w:p>
    <w:p w14:paraId="2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2025-2026 годы согласно приложению №2.1 к настоящему решению.</w:t>
      </w:r>
    </w:p>
    <w:p w14:paraId="21000000">
      <w:pPr>
        <w:spacing w:before="240"/>
        <w:ind w:firstLine="709" w:left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 xml:space="preserve">         </w:t>
      </w:r>
      <w:r>
        <w:rPr>
          <w:rFonts w:ascii="Times New Roman" w:hAnsi="Times New Roman"/>
          <w:sz w:val="28"/>
        </w:rPr>
        <w:t>4. Утвердить распределение бюджетных ассигнований:</w:t>
      </w:r>
    </w:p>
    <w:p w14:paraId="2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по разделам, подразделам,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группам </w:t>
      </w:r>
      <w:r>
        <w:rPr>
          <w:rFonts w:ascii="Times New Roman" w:hAnsi="Times New Roman"/>
          <w:sz w:val="28"/>
        </w:rPr>
        <w:t xml:space="preserve">видов </w:t>
      </w:r>
      <w:r>
        <w:rPr>
          <w:rFonts w:ascii="Times New Roman" w:hAnsi="Times New Roman"/>
          <w:sz w:val="28"/>
        </w:rPr>
        <w:t>расходов классификации расходов бюджета муниципального</w:t>
      </w:r>
      <w:r>
        <w:rPr>
          <w:rFonts w:ascii="Times New Roman" w:hAnsi="Times New Roman"/>
          <w:sz w:val="28"/>
        </w:rPr>
        <w:t xml:space="preserve">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</w:t>
      </w:r>
      <w:r>
        <w:rPr>
          <w:rFonts w:ascii="Times New Roman" w:hAnsi="Times New Roman"/>
          <w:sz w:val="28"/>
        </w:rPr>
        <w:t>области»</w:t>
      </w:r>
      <w:r>
        <w:rPr>
          <w:rFonts w:ascii="Times New Roman" w:hAnsi="Times New Roman"/>
          <w:sz w:val="28"/>
        </w:rPr>
        <w:t>:</w:t>
      </w:r>
    </w:p>
    <w:p w14:paraId="2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к настоящему решению;</w:t>
      </w:r>
    </w:p>
    <w:p w14:paraId="2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2025-2026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№3.1 к настоящему решению.</w:t>
      </w:r>
    </w:p>
    <w:p w14:paraId="2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по целевым статьям (муниципальным программам и непрограммным направлениям деятельности),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группам видов расходов, разделам, подразделам классификации расходов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>:</w:t>
      </w:r>
    </w:p>
    <w:p w14:paraId="2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к настоящему решению;</w:t>
      </w:r>
    </w:p>
    <w:p w14:paraId="2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2025-2026годы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4.1 к настоящему решению.</w:t>
      </w:r>
    </w:p>
    <w:p w14:paraId="28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по ведомственной структуре расходов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</w:t>
      </w:r>
      <w:r>
        <w:rPr>
          <w:rFonts w:ascii="Times New Roman" w:hAnsi="Times New Roman"/>
          <w:sz w:val="28"/>
        </w:rPr>
        <w:t>го района Астраханской области»</w:t>
      </w:r>
      <w:r>
        <w:rPr>
          <w:rFonts w:ascii="Times New Roman" w:hAnsi="Times New Roman"/>
          <w:sz w:val="28"/>
        </w:rPr>
        <w:t>:</w:t>
      </w:r>
    </w:p>
    <w:p w14:paraId="29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 2024год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 к настоящему решению;</w:t>
      </w:r>
    </w:p>
    <w:p w14:paraId="2A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 2025-2026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№5.1 к настоящему решению.</w:t>
      </w:r>
    </w:p>
    <w:p w14:paraId="2B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Утвердить распределение бюджетных ассигнований по муниципальным программам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</w:t>
      </w:r>
      <w:r>
        <w:rPr>
          <w:rFonts w:ascii="Times New Roman" w:hAnsi="Times New Roman"/>
          <w:sz w:val="28"/>
        </w:rPr>
        <w:t>го района Астраханской области»:</w:t>
      </w:r>
    </w:p>
    <w:p w14:paraId="2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 к настоящему решению;</w:t>
      </w:r>
    </w:p>
    <w:p w14:paraId="2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на 2025-2026годы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№6.1 к настоящему решению.</w:t>
      </w:r>
    </w:p>
    <w:p w14:paraId="2E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программу муниципальных внутренних заимствований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области»:</w:t>
      </w:r>
    </w:p>
    <w:p w14:paraId="2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согласно приложению №7 к настоящему решению</w:t>
      </w:r>
    </w:p>
    <w:p w14:paraId="3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2025-2026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согласно приложению №7.1 к настоящему решению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31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 </w:t>
      </w:r>
      <w:r>
        <w:rPr>
          <w:rFonts w:ascii="Times New Roman" w:hAnsi="Times New Roman"/>
          <w:sz w:val="28"/>
        </w:rPr>
        <w:t>межбюджетные трансферты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предоставляемые бюджету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«Ахтубинский муниципальный район Астраханской области», на осуществление части полномочий по решению вопросов местного значения в соответствии с заключенным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соглашени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: </w:t>
      </w:r>
    </w:p>
    <w:p w14:paraId="3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 сумме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873,24131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 согласно приложению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 к настоящему решению</w:t>
      </w:r>
      <w:r>
        <w:rPr>
          <w:rFonts w:ascii="Times New Roman" w:hAnsi="Times New Roman"/>
          <w:sz w:val="28"/>
        </w:rPr>
        <w:t>.</w:t>
      </w:r>
    </w:p>
    <w:p w14:paraId="33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 2025-2026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 сумме 0,00000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 согласно приложению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8.1 к настоящему решению</w:t>
      </w:r>
      <w:r>
        <w:rPr>
          <w:rFonts w:ascii="Times New Roman" w:hAnsi="Times New Roman"/>
          <w:sz w:val="28"/>
        </w:rPr>
        <w:t>.</w:t>
      </w:r>
    </w:p>
    <w:p w14:paraId="34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</w:p>
    <w:p w14:paraId="35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программу предоставления муниципальных гарантий</w:t>
      </w:r>
      <w: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>:</w:t>
      </w:r>
    </w:p>
    <w:p w14:paraId="3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2024 год согласно приложению №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к настоящему решению</w:t>
      </w:r>
    </w:p>
    <w:p w14:paraId="3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2025-</w:t>
      </w:r>
      <w:r>
        <w:rPr>
          <w:rFonts w:ascii="Times New Roman" w:hAnsi="Times New Roman"/>
          <w:sz w:val="28"/>
        </w:rPr>
        <w:t>2026 годы согласно приложению № 9</w:t>
      </w:r>
      <w:r>
        <w:rPr>
          <w:rFonts w:ascii="Times New Roman" w:hAnsi="Times New Roman"/>
          <w:sz w:val="28"/>
        </w:rPr>
        <w:t>.1 к настоящему решению.</w:t>
      </w:r>
    </w:p>
    <w:p w14:paraId="38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Разрешить получение кредитов в местный бюджет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</w:p>
    <w:p w14:paraId="39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Право осуществления муниципальных заимствований, предоставление муниципальных гарантий и управления муниципальным долгом</w:t>
      </w:r>
      <w:r>
        <w:rPr>
          <w:rFonts w:ascii="Times New Roman" w:hAnsi="Times New Roman"/>
          <w:sz w:val="28"/>
        </w:rPr>
        <w:t xml:space="preserve">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предоставить администрации </w:t>
      </w:r>
      <w:r>
        <w:rPr>
          <w:rFonts w:ascii="Times New Roman" w:hAnsi="Times New Roman"/>
          <w:sz w:val="28"/>
        </w:rPr>
        <w:t>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3A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 Установить</w:t>
      </w:r>
      <w:r>
        <w:rPr>
          <w:rFonts w:ascii="Times New Roman" w:hAnsi="Times New Roman"/>
          <w:sz w:val="28"/>
        </w:rPr>
        <w:t xml:space="preserve"> верхний </w:t>
      </w:r>
      <w:r>
        <w:rPr>
          <w:rFonts w:ascii="Times New Roman" w:hAnsi="Times New Roman"/>
          <w:sz w:val="28"/>
        </w:rPr>
        <w:t xml:space="preserve">предел муниципального внутреннего долга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>:</w:t>
      </w:r>
    </w:p>
    <w:p w14:paraId="3B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01.01.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5 года в сумме 0,0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 том числе верхний предел долга по муниципальным гарантиям в сумме 0,0 тыс. руб.</w:t>
      </w:r>
    </w:p>
    <w:p w14:paraId="3C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01.01.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6 года в сумме 0,0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 том числе верхний предел долга по муниципальным гарантиям в сумме 0,0 тыс. руб.</w:t>
      </w:r>
    </w:p>
    <w:p w14:paraId="3D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01.01.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7 года в сумме 0,0 тыс. руб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 в том числе верхний предел долга по муниципальным гарантиям в сумме 0,0 тыс. руб.</w:t>
      </w:r>
    </w:p>
    <w:p w14:paraId="3E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Имущество, составляющего казну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отсутствует.</w:t>
      </w:r>
    </w:p>
    <w:p w14:paraId="3F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Установить размер резервного фонда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 xml:space="preserve">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на предупреждение и ликвидацию чрезвычайных ситуаций и последствий стихийных бедствий</w:t>
      </w:r>
      <w:r>
        <w:rPr>
          <w:rFonts w:ascii="Times New Roman" w:hAnsi="Times New Roman"/>
          <w:sz w:val="28"/>
        </w:rPr>
        <w:t>:</w:t>
      </w:r>
    </w:p>
    <w:p w14:paraId="40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2024 год </w:t>
      </w:r>
      <w:r>
        <w:rPr>
          <w:rFonts w:ascii="Times New Roman" w:hAnsi="Times New Roman"/>
          <w:sz w:val="28"/>
        </w:rPr>
        <w:t xml:space="preserve">в сумме 1,00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</w:p>
    <w:p w14:paraId="4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202</w:t>
      </w:r>
      <w:r>
        <w:rPr>
          <w:rFonts w:ascii="Times New Roman" w:hAnsi="Times New Roman"/>
          <w:sz w:val="28"/>
        </w:rPr>
        <w:t xml:space="preserve">5 год в сумме 1,00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;</w:t>
      </w:r>
    </w:p>
    <w:p w14:paraId="42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 2026 год в сумме 1,00 </w:t>
      </w:r>
      <w:r>
        <w:rPr>
          <w:rFonts w:ascii="Times New Roman" w:hAnsi="Times New Roman"/>
          <w:sz w:val="28"/>
        </w:rPr>
        <w:t>тыс</w:t>
      </w:r>
      <w:r>
        <w:rPr>
          <w:rFonts w:ascii="Times New Roman" w:hAnsi="Times New Roman"/>
          <w:sz w:val="28"/>
        </w:rPr>
        <w:t>.р</w:t>
      </w:r>
      <w:r>
        <w:rPr>
          <w:rFonts w:ascii="Times New Roman" w:hAnsi="Times New Roman"/>
          <w:sz w:val="28"/>
        </w:rPr>
        <w:t>уб</w:t>
      </w:r>
      <w:r>
        <w:rPr>
          <w:rFonts w:ascii="Times New Roman" w:hAnsi="Times New Roman"/>
          <w:sz w:val="28"/>
        </w:rPr>
        <w:t>..</w:t>
      </w:r>
    </w:p>
    <w:p w14:paraId="43000000">
      <w:pPr>
        <w:ind w:firstLine="709" w:left="0"/>
        <w:jc w:val="both"/>
        <w:rPr>
          <w:rFonts w:ascii="Times New Roman" w:hAnsi="Times New Roman"/>
          <w:sz w:val="28"/>
        </w:rPr>
      </w:pPr>
    </w:p>
    <w:p w14:paraId="4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>. Установить, что остатки средств бюджета муниципального 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1 января 2024 года  направляются в 2024 году:</w:t>
      </w:r>
    </w:p>
    <w:p w14:paraId="45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 покрытие временных кассовых разрывов в объеме не более одной двенадцатой общего объема бюджета муниципального образования «Сельское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области» текущего финансового года;</w:t>
      </w:r>
    </w:p>
    <w:p w14:paraId="46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 увеличение бюджетных ассигнований на оплату заключенных от имени муниципального образования муниципальных контрактов (договоров) на поставку товаров, выполнение работ, оказание услуг, подлежавших в соответствии с условиями этих муниципальных контрактов (договоров) оплате в отчетном финансовом году; </w:t>
      </w:r>
    </w:p>
    <w:p w14:paraId="47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остатки средств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на 1 января 2024 года сверх объемов, указанных в подпункте 2 настоящего пункта, подлежат направлению в 2024 году на увеличение бюджетных ассигнований для исполнения расходных обязательств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в соответствии с решением Совета 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 бюджете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на текущий год».</w:t>
      </w:r>
    </w:p>
    <w:p w14:paraId="48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Установить, что исполнение бюджета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 осуществляется администрацией с открытием и ведением лицевых счетов главному распорядителю, получателю бюджетных средств в Управлении Федерального казначейства по Астраханской области в соответствии с действующим законодательством Российской Федерации.</w:t>
      </w:r>
    </w:p>
    <w:p w14:paraId="49000000">
      <w:pPr>
        <w:spacing w:before="24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Настоящее решение обнародовать и разместить на официальном сайте администрации муниципального образования «</w:t>
      </w:r>
      <w:r>
        <w:rPr>
          <w:rFonts w:ascii="Times New Roman" w:hAnsi="Times New Roman"/>
          <w:sz w:val="28"/>
        </w:rPr>
        <w:t xml:space="preserve">Сельское поселение </w:t>
      </w:r>
      <w:r>
        <w:rPr>
          <w:rFonts w:ascii="Times New Roman" w:hAnsi="Times New Roman"/>
          <w:sz w:val="28"/>
        </w:rPr>
        <w:t>Капустиноярский</w:t>
      </w:r>
      <w:r>
        <w:rPr>
          <w:rFonts w:ascii="Times New Roman" w:hAnsi="Times New Roman"/>
          <w:sz w:val="28"/>
        </w:rPr>
        <w:t xml:space="preserve"> сельсовет Ахтубинского муниципального района Астраханской области</w:t>
      </w:r>
      <w:r>
        <w:rPr>
          <w:rFonts w:ascii="Times New Roman" w:hAnsi="Times New Roman"/>
          <w:sz w:val="28"/>
        </w:rPr>
        <w:t>».</w:t>
      </w:r>
    </w:p>
    <w:p w14:paraId="4A000000">
      <w:pPr>
        <w:spacing w:before="240" w:line="36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. Настоящее решение вступает в силу с 1 января 2024 года.  </w:t>
      </w:r>
    </w:p>
    <w:p w14:paraId="4B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C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D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                                                                            </w:t>
      </w:r>
      <w:r>
        <w:rPr>
          <w:rFonts w:ascii="Times New Roman" w:hAnsi="Times New Roman"/>
          <w:sz w:val="28"/>
        </w:rPr>
        <w:t>А.А.Пинчук</w:t>
      </w:r>
    </w:p>
    <w:p w14:paraId="4F000000">
      <w:pPr>
        <w:spacing w:line="36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0000000">
      <w:pPr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В.С.Игнатенко</w:t>
      </w:r>
    </w:p>
    <w:sectPr>
      <w:pgSz w:h="15840" w:orient="portrait" w:w="12240"/>
      <w:pgMar w:bottom="851" w:footer="720" w:gutter="0" w:header="720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Arial" w:hAnsi="Arial"/>
      <w:sz w:val="22"/>
    </w:rPr>
  </w:style>
  <w:style w:default="1" w:styleId="Style_3_ch" w:type="character">
    <w:name w:val="Normal"/>
    <w:link w:val="Style_3"/>
    <w:rPr>
      <w:rFonts w:ascii="Arial" w:hAnsi="Arial"/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ody Text"/>
    <w:basedOn w:val="Style_3"/>
    <w:link w:val="Style_6_ch"/>
    <w:pPr>
      <w:spacing w:after="120"/>
      <w:ind/>
    </w:pPr>
  </w:style>
  <w:style w:styleId="Style_6_ch" w:type="character">
    <w:name w:val="Body Text"/>
    <w:basedOn w:val="Style_3_ch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Символ нумерации"/>
    <w:link w:val="Style_11_ch"/>
  </w:style>
  <w:style w:styleId="Style_11_ch" w:type="character">
    <w:name w:val="Символ нумерации"/>
    <w:link w:val="Style_11"/>
  </w:style>
  <w:style w:styleId="Style_12" w:type="paragraph">
    <w:name w:val="Заголовок"/>
    <w:basedOn w:val="Style_3"/>
    <w:next w:val="Style_6"/>
    <w:link w:val="Style_12_ch"/>
    <w:pPr>
      <w:keepNext w:val="1"/>
      <w:spacing w:after="120" w:before="240"/>
      <w:ind/>
    </w:pPr>
    <w:rPr>
      <w:sz w:val="28"/>
    </w:rPr>
  </w:style>
  <w:style w:styleId="Style_12_ch" w:type="character">
    <w:name w:val="Заголовок"/>
    <w:basedOn w:val="Style_3_ch"/>
    <w:link w:val="Style_12"/>
    <w:rPr>
      <w:sz w:val="28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3"/>
    <w:link w:val="Style_14_ch"/>
    <w:uiPriority w:val="39"/>
    <w:pPr>
      <w:ind w:firstLine="0" w:left="400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Текст выноски Знак"/>
    <w:link w:val="Style_15_ch"/>
    <w:rPr>
      <w:rFonts w:ascii="Tahoma" w:hAnsi="Tahoma"/>
      <w:sz w:val="16"/>
    </w:rPr>
  </w:style>
  <w:style w:styleId="Style_15_ch" w:type="character">
    <w:name w:val="Текст выноски Знак"/>
    <w:link w:val="Style_15"/>
    <w:rPr>
      <w:rFonts w:ascii="Tahoma" w:hAnsi="Tahoma"/>
      <w:sz w:val="16"/>
    </w:rPr>
  </w:style>
  <w:style w:styleId="Style_16" w:type="paragraph">
    <w:name w:val="Balloon Text"/>
    <w:basedOn w:val="Style_3"/>
    <w:link w:val="Style_16_ch"/>
    <w:rPr>
      <w:rFonts w:ascii="Tahoma" w:hAnsi="Tahoma"/>
      <w:sz w:val="16"/>
    </w:rPr>
  </w:style>
  <w:style w:styleId="Style_16_ch" w:type="character">
    <w:name w:val="Balloon Text"/>
    <w:basedOn w:val="Style_3_ch"/>
    <w:link w:val="Style_16"/>
    <w:rPr>
      <w:rFonts w:ascii="Tahoma" w:hAnsi="Tahoma"/>
      <w:sz w:val="16"/>
    </w:rPr>
  </w:style>
  <w:style w:styleId="Style_17" w:type="paragraph">
    <w:name w:val="Указатель1"/>
    <w:basedOn w:val="Style_3"/>
    <w:link w:val="Style_17_ch"/>
  </w:style>
  <w:style w:styleId="Style_17_ch" w:type="character">
    <w:name w:val="Указатель1"/>
    <w:basedOn w:val="Style_3_ch"/>
    <w:link w:val="Style_17"/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numPr>
        <w:numId w:val="1"/>
      </w:numPr>
      <w:ind w:firstLine="567" w:left="0"/>
      <w:jc w:val="both"/>
      <w:outlineLvl w:val="0"/>
    </w:pPr>
    <w:rPr>
      <w:rFonts w:ascii="Times New Roman" w:hAnsi="Times New Roman"/>
      <w:sz w:val="28"/>
    </w:rPr>
  </w:style>
  <w:style w:styleId="Style_1_ch" w:type="character">
    <w:name w:val="heading 1"/>
    <w:basedOn w:val="Style_3_ch"/>
    <w:link w:val="Style_1"/>
    <w:rPr>
      <w:rFonts w:ascii="Times New Roman" w:hAnsi="Times New Roman"/>
      <w:sz w:val="28"/>
    </w:rPr>
  </w:style>
  <w:style w:styleId="Style_20" w:type="paragraph">
    <w:name w:val="caption"/>
    <w:basedOn w:val="Style_3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3_ch"/>
    <w:link w:val="Style_20"/>
    <w:rPr>
      <w:i w:val="1"/>
      <w:sz w:val="24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ind/>
      <w:jc w:val="both"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WW-Absatz-Standardschriftart"/>
    <w:link w:val="Style_25_ch"/>
  </w:style>
  <w:style w:styleId="Style_25_ch" w:type="character">
    <w:name w:val="WW-Absatz-Standardschriftart"/>
    <w:link w:val="Style_25"/>
  </w:style>
  <w:style w:styleId="Style_26" w:type="paragraph">
    <w:name w:val="toc 9"/>
    <w:next w:val="Style_3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Absatz-Standardschriftart"/>
    <w:link w:val="Style_28_ch"/>
  </w:style>
  <w:style w:styleId="Style_28_ch" w:type="character">
    <w:name w:val="Absatz-Standardschriftart"/>
    <w:link w:val="Style_28"/>
  </w:style>
  <w:style w:styleId="Style_29" w:type="paragraph">
    <w:name w:val="Обычный1"/>
    <w:link w:val="Style_29_ch"/>
    <w:rPr>
      <w:rFonts w:ascii="Arial" w:hAnsi="Arial"/>
      <w:sz w:val="22"/>
    </w:rPr>
  </w:style>
  <w:style w:styleId="Style_29_ch" w:type="character">
    <w:name w:val="Обычный1"/>
    <w:link w:val="Style_29"/>
    <w:rPr>
      <w:rFonts w:ascii="Arial" w:hAnsi="Arial"/>
      <w:sz w:val="22"/>
    </w:rPr>
  </w:style>
  <w:style w:styleId="Style_30" w:type="paragraph">
    <w:name w:val="toc 5"/>
    <w:next w:val="Style_3"/>
    <w:link w:val="Style_30_ch"/>
    <w:uiPriority w:val="39"/>
    <w:pPr>
      <w:ind w:firstLine="0" w:left="800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2" w:type="paragraph">
    <w:name w:val="Body Text Indent"/>
    <w:basedOn w:val="Style_3"/>
    <w:link w:val="Style_2_ch"/>
    <w:pPr>
      <w:ind w:firstLine="567" w:left="0"/>
    </w:pPr>
    <w:rPr>
      <w:sz w:val="28"/>
    </w:rPr>
  </w:style>
  <w:style w:styleId="Style_2_ch" w:type="character">
    <w:name w:val="Body Text Indent"/>
    <w:basedOn w:val="Style_3_ch"/>
    <w:link w:val="Style_2"/>
    <w:rPr>
      <w:sz w:val="28"/>
    </w:rPr>
  </w:style>
  <w:style w:styleId="Style_31" w:type="paragraph">
    <w:name w:val="List"/>
    <w:basedOn w:val="Style_6"/>
    <w:link w:val="Style_31_ch"/>
  </w:style>
  <w:style w:styleId="Style_31_ch" w:type="character">
    <w:name w:val="List"/>
    <w:basedOn w:val="Style_6_ch"/>
    <w:link w:val="Style_31"/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сновной шрифт абзаца2"/>
    <w:link w:val="Style_36_ch"/>
  </w:style>
  <w:style w:styleId="Style_36_ch" w:type="character">
    <w:name w:val="Основной шрифт абзаца2"/>
    <w:link w:val="Style_36"/>
  </w:style>
  <w:style w:default="1" w:styleId="Style_3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2023-12-12T04:06:24Z</dcterms:modified>
</cp:coreProperties>
</file>